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87" w:rsidRPr="00121B87" w:rsidRDefault="00121B87" w:rsidP="00121B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121B87">
        <w:rPr>
          <w:rFonts w:ascii="Arial" w:eastAsia="Times New Roman" w:hAnsi="Arial" w:cs="Arial"/>
          <w:b/>
          <w:bCs/>
          <w:color w:val="696969"/>
          <w:sz w:val="36"/>
          <w:szCs w:val="36"/>
          <w:lang w:eastAsia="cs-CZ"/>
        </w:rPr>
        <w:t xml:space="preserve">Meeting </w:t>
      </w:r>
      <w:proofErr w:type="spellStart"/>
      <w:r w:rsidRPr="00121B87">
        <w:rPr>
          <w:rFonts w:ascii="Arial" w:eastAsia="Times New Roman" w:hAnsi="Arial" w:cs="Arial"/>
          <w:b/>
          <w:bCs/>
          <w:color w:val="696969"/>
          <w:sz w:val="36"/>
          <w:szCs w:val="36"/>
          <w:lang w:eastAsia="cs-CZ"/>
        </w:rPr>
        <w:t>Announcement</w:t>
      </w:r>
      <w:proofErr w:type="spellEnd"/>
    </w:p>
    <w:p w:rsidR="00121B87" w:rsidRPr="00121B87" w:rsidRDefault="00121B87" w:rsidP="00121B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121B87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The 2017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 Science Summit </w:t>
      </w:r>
    </w:p>
    <w:p w:rsidR="00121B87" w:rsidRPr="00121B87" w:rsidRDefault="00121B87" w:rsidP="00121B87">
      <w:pPr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Tuesday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, 24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January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2017 - 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Thursday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, 26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January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2017 </w:t>
      </w:r>
    </w:p>
    <w:p w:rsidR="00121B87" w:rsidRPr="00121B87" w:rsidRDefault="00121B87" w:rsidP="00121B87">
      <w:pPr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hyperlink r:id="rId6" w:tgtFrame="_blank" w:history="1">
        <w:r w:rsidRPr="00121B87">
          <w:rPr>
            <w:rFonts w:ascii="Arial" w:eastAsia="Times New Roman" w:hAnsi="Arial" w:cs="Arial"/>
            <w:b/>
            <w:bCs/>
            <w:color w:val="0788C9"/>
            <w:sz w:val="21"/>
            <w:szCs w:val="21"/>
            <w:u w:val="single"/>
            <w:shd w:val="clear" w:color="auto" w:fill="FFFFFF"/>
            <w:lang w:eastAsia="cs-CZ"/>
          </w:rPr>
          <w:t>www.regonline.co.uk/sportsweb2017</w:t>
        </w:r>
      </w:hyperlink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Covering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a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broad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range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of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topics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within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science,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this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 xml:space="preserve">live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streamed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 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three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day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event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will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provide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plenty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of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opportunity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for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networking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debate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. 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This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informal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international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meeting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will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bring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you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up to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date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with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current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research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 technology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regarding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enhancing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performance,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injury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prevention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rehabilitation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exercise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physiology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nutrition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 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encourage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presentations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from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the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wide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spectrum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of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professionals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including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physiology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psychology,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biomechanics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nutrition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The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event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will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recorded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and 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available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 for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all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registered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delegates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up to a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month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after the event</w:t>
      </w:r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.  So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if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you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canâ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€™t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manage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all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the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days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or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the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different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time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zones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you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can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still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have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access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to the full event.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Who</w:t>
      </w:r>
      <w:proofErr w:type="spellEnd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Should</w:t>
      </w:r>
      <w:proofErr w:type="spellEnd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Attend</w:t>
      </w:r>
      <w:proofErr w:type="spellEnd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: </w:t>
      </w:r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All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professionals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involved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in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treatment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prevention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of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injuries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related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would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benefit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from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coming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to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this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event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including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those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involved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in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physiology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psychology,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biomechanics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nutrition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.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Including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research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scientists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clinicians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and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those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with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interest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in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industry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Deadlines</w:t>
      </w:r>
      <w:proofErr w:type="spellEnd"/>
      <w:r w:rsidRPr="00121B87">
        <w:rPr>
          <w:rFonts w:ascii="Arial" w:eastAsia="Times New Roman" w:hAnsi="Arial" w:cs="Arial"/>
          <w:b/>
          <w:bCs/>
          <w:color w:val="008080"/>
          <w:sz w:val="27"/>
          <w:szCs w:val="27"/>
          <w:lang w:eastAsia="cs-CZ"/>
        </w:rPr>
        <w:t>:</w:t>
      </w:r>
    </w:p>
    <w:p w:rsidR="00121B87" w:rsidRPr="00121B87" w:rsidRDefault="00121B87" w:rsidP="0012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Deadline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for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abstract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submissions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for oral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presentation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- 10th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October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2016</w:t>
      </w:r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121B87" w:rsidRPr="00121B87" w:rsidRDefault="00121B87" w:rsidP="0012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Early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registration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discount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deadline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- 20th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November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2016</w:t>
      </w:r>
    </w:p>
    <w:p w:rsidR="00121B87" w:rsidRPr="00121B87" w:rsidRDefault="00121B87" w:rsidP="00121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Poster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submission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deadline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- 10th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January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2017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0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Science 2017 has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an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open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abstract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session:  </w: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Abstracts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can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be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submitted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on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any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subject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related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to </w:t>
      </w:r>
      <w:proofErr w:type="spellStart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Sports</w:t>
      </w:r>
      <w:proofErr w:type="spellEnd"/>
      <w:r w:rsidRPr="00121B8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Science</w:t>
      </w:r>
    </w:p>
    <w:p w:rsidR="00121B87" w:rsidRPr="00121B87" w:rsidRDefault="00121B87" w:rsidP="00121B87">
      <w:pPr>
        <w:shd w:val="clear" w:color="auto" w:fill="FDFDFD"/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r w:rsidRPr="00121B87"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  <w:pict>
          <v:rect id="_x0000_i1031" style="width:0;height:1.5pt" o:hralign="center" o:hrstd="t" o:hr="t" fillcolor="#a0a0a0" stroked="f"/>
        </w:pict>
      </w:r>
    </w:p>
    <w:p w:rsidR="00121B87" w:rsidRPr="00121B87" w:rsidRDefault="00121B87" w:rsidP="00121B87">
      <w:pPr>
        <w:shd w:val="clear" w:color="auto" w:fill="F9F9F9"/>
        <w:spacing w:after="15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cs-CZ"/>
        </w:rPr>
      </w:pPr>
      <w:r w:rsidRPr="00121B87">
        <w:rPr>
          <w:rFonts w:ascii="Arial" w:eastAsia="Times New Roman" w:hAnsi="Arial" w:cs="Arial"/>
          <w:b/>
          <w:bCs/>
          <w:color w:val="222222"/>
          <w:sz w:val="42"/>
          <w:szCs w:val="42"/>
          <w:lang w:eastAsia="cs-CZ"/>
        </w:rPr>
        <w:t> </w:t>
      </w:r>
    </w:p>
    <w:p w:rsidR="00121B87" w:rsidRPr="00121B87" w:rsidRDefault="00121B87" w:rsidP="00121B87">
      <w:pPr>
        <w:spacing w:before="100" w:beforeAutospacing="1" w:after="15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Invited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speakers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and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their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talks</w:t>
      </w:r>
      <w:proofErr w:type="spellEnd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include</w:t>
      </w:r>
      <w:proofErr w:type="spellEnd"/>
    </w:p>
    <w:tbl>
      <w:tblPr>
        <w:tblW w:w="11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2221"/>
        <w:gridCol w:w="3007"/>
        <w:gridCol w:w="1549"/>
      </w:tblGrid>
      <w:tr w:rsidR="00121B87" w:rsidRPr="00121B87" w:rsidTr="00121B87">
        <w:trPr>
          <w:tblHeader/>
        </w:trPr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Title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Speaker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Affiliation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Country</w:t>
            </w:r>
          </w:p>
        </w:tc>
      </w:tr>
      <w:tr w:rsidR="00121B87" w:rsidRPr="00121B87" w:rsidTr="00121B8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Cardiac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Repolarization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Sport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JĂ¸rgen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Kanters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Denmark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Developing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Practice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Specificity, and Plasticity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Williams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Brunel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London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Digital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intervention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self-determined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motivation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randomized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controlled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Karin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Weman-Josefsson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HĂ¶gskolan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Halmstad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Halmstad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Sweden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affect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concurrent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endurance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strength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Moritz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Schumann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JyvĂ¤skylĂ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¤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Finland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Energy X-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Absorptiometry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measurement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Body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Composition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Karen Knapp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Exeter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Enhancement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precision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sport performance: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Improve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focused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attention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EEG (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Neurofeedback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Dr. Ming-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Dylan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Cheng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Bielefeld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Germany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Evolutionary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aspects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implications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spine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pathology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 Aviv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Israel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intestine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gut has to do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PatrĂ</w:t>
            </w: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oftHyphen/>
              <w:t>cia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L. Campos-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Ferraz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Sao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Paulo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Brazil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rehabilitation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Antonia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Kaltsatou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Thessaly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Greece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Exercise-induced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oxidative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stress,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antioxidants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supplementation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useful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Babak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Nakhostin-Roohi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Ardabil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Iran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Factors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predicting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leg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exertional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compartment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syndrome in 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unselected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population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Johan de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Bruijn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MĂˇxima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Netherlands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Female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sex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steroids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skeletal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muscle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regeneration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adaptation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Patrick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Diel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Deutsche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Sporthochschule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Koeln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Germany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Fractures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Sport: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Optimising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Management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Outcome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Edinburgh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Orthopaedic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Trauma Unit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Genetics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Pereira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Polytechnic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Institute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SetĂşbal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Florentina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Hettinga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Essex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Head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predictors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trauma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FĂˇbio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Fernandes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Aveiro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Immunologic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aspects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Teixeira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Coimbra University,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Incidence,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assessment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rehabilitation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posterior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instability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shoulder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Tanya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Anne Mackenzie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Salford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Interactions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among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inactivity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motor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iliteracy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obesity  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academic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sucess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Maria Isabel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MourĂŁo-Carvalhal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Tras-os-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Alto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Douro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Mitochondrial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intensity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volume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Filip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Larsen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Karolinska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Institutet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Sweden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Neuromuscular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performance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jumping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children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Dimitrios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Patikas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Thessaloniki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Greece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Abbiss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Edith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Cowan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Non-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invasive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static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assessment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muscle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properties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performance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Adrian Paul Harrison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Copenhagen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Denmark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Nutrition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Immunology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Glen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Davison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Kent</w:t>
            </w:r>
            <w:proofErr w:type="gram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Vicente-Rodriguez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Zaragoza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Spain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Optimising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Intensity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Maximise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Performance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John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Babraj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Abertay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Xu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Sean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Victoria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Physiology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exercise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Claire Thomas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Val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d'Essonne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France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Drust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Liverpool John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Moores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athletes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excursion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balance 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Benita Olivier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Witwatersrand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South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Africa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Recovery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Strategies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Emma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Cockburn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London Sport Institut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related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injuries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â€“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reduce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risk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runners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maintain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injured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Sten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Rasmussen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Aalborg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Hospital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Denmark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Science on the Summit: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Mount Everest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help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those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critical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Edward T Gilbert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UCL Institute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Associate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Ioannis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Fatouros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School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Education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Sport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Greece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Force-velocity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imbalnce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Implications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performance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indicence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Tania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Spiteri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Notre Dame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Andy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Pringle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Leeds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Beckett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Tactical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Load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Carriage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Impacts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Conditioning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Rob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Bond Institute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Sport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measurement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growth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maturation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implications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talent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identification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performance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Kevin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Till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Leeds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Beckett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Aquaticity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Giorgos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Sakkas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Thessaly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Greece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Louis-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Giboin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Konstanz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Germany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future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directions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education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the UK: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Lessons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home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overseas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Nick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Draper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Derby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Critical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measurement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modelling in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Bettina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Karsten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Greenwich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correlates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superior</w:t>
            </w:r>
            <w:proofErr w:type="gram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performance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elite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athletes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behavioural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neurophysiological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evidence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Stergios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Makris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Edge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The use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Computational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Fluid Dynamics to model the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swimmers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posture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Abel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Rouboa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TrĂˇs-os-montes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Alto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Douro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</w:t>
            </w:r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Understanding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movement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through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capture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Susan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Giblin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Lancashire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Water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immersion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rehabilitation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Neil J.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Cronin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JyvĂ¤skylĂ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¤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Finland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William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Fraser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East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Whole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body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vibration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training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competitive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useful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waste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time?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Tobias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Stephan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Kaeding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Institute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Science Carl von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Ossietzky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Germany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Knee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Osteoarthritis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Applying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Basic Science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Principles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Aquatic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Land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Interventions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Lori Thein Brody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UW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Considerations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Tactical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Athletes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Kenneth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Indiana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Adam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Nicholls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Hull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Kingdom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Enhancing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motor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skill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acquisition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preparing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Matthew Miller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Auburn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throwing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programs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 performance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enhancement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injury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Gretchen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Oliver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Auburn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</w:p>
        </w:tc>
      </w:tr>
      <w:tr w:rsidR="00121B87" w:rsidRPr="00121B87" w:rsidTr="00121B8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Talk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title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confirmed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Professor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Michael D.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Auburn</w:t>
            </w:r>
            <w:proofErr w:type="spellEnd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B87" w:rsidRPr="00121B87" w:rsidRDefault="00121B87" w:rsidP="00121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121B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</w:p>
        </w:tc>
      </w:tr>
    </w:tbl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  <w:t> 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21B8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32" style="width:0;height:1.5pt" o:hralign="center" o:hrstd="t" o:hr="t" fillcolor="#a0a0a0" stroked="f"/>
        </w:pict>
      </w:r>
    </w:p>
    <w:p w:rsidR="00121B87" w:rsidRPr="00121B87" w:rsidRDefault="00121B87" w:rsidP="00121B87">
      <w:pPr>
        <w:shd w:val="clear" w:color="auto" w:fill="FDFDFD"/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This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event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has CPD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credits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from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the Institute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of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Biomedical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sciences</w:t>
      </w:r>
      <w:proofErr w:type="spellEnd"/>
    </w:p>
    <w:p w:rsidR="00121B87" w:rsidRPr="00121B87" w:rsidRDefault="00121B87" w:rsidP="00121B87">
      <w:pPr>
        <w:shd w:val="clear" w:color="auto" w:fill="FDFDFD"/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A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certificate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will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be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issued</w:t>
      </w:r>
      <w:proofErr w:type="spellEnd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 xml:space="preserve"> after </w:t>
      </w:r>
      <w:proofErr w:type="spellStart"/>
      <w:r w:rsidRPr="00121B87">
        <w:rPr>
          <w:rFonts w:ascii="Arial" w:eastAsia="Times New Roman" w:hAnsi="Arial" w:cs="Arial"/>
          <w:color w:val="090909"/>
          <w:sz w:val="19"/>
          <w:szCs w:val="19"/>
          <w:lang w:eastAsia="cs-CZ"/>
        </w:rPr>
        <w:t>attendance</w:t>
      </w:r>
      <w:proofErr w:type="spellEnd"/>
    </w:p>
    <w:p w:rsidR="00121B87" w:rsidRPr="00121B87" w:rsidRDefault="00121B87" w:rsidP="00121B87">
      <w:pPr>
        <w:shd w:val="clear" w:color="auto" w:fill="FDFDFD"/>
        <w:spacing w:after="0" w:line="243" w:lineRule="atLeast"/>
        <w:jc w:val="center"/>
        <w:rPr>
          <w:rFonts w:ascii="Segoe UI" w:eastAsia="Times New Roman" w:hAnsi="Segoe UI" w:cs="Segoe UI"/>
          <w:color w:val="090909"/>
          <w:sz w:val="19"/>
          <w:szCs w:val="19"/>
          <w:lang w:eastAsia="cs-CZ"/>
        </w:rPr>
      </w:pPr>
      <w:hyperlink r:id="rId7" w:tgtFrame="_blank" w:history="1">
        <w:r w:rsidRPr="00121B87">
          <w:rPr>
            <w:rFonts w:ascii="Arial" w:eastAsia="Times New Roman" w:hAnsi="Arial" w:cs="Arial"/>
            <w:b/>
            <w:bCs/>
            <w:color w:val="0788C9"/>
            <w:sz w:val="21"/>
            <w:szCs w:val="21"/>
            <w:u w:val="single"/>
            <w:shd w:val="clear" w:color="auto" w:fill="FFFFFF"/>
            <w:lang w:eastAsia="cs-CZ"/>
          </w:rPr>
          <w:t>www.regonline.co.uk/sportsweb2017</w:t>
        </w:r>
      </w:hyperlink>
    </w:p>
    <w:p w:rsidR="00121B87" w:rsidRPr="00121B87" w:rsidRDefault="00121B87" w:rsidP="0012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B8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noshade="t" o:hr="t" fillcolor="black" stroked="f"/>
        </w:pic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This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is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a B2B marketing email and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is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private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confidential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.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If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you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have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received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this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message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in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error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,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please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notify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us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remove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it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from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your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system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.</w: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If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you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no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longer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want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to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receive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emails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from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us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please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reply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to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this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email and let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us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know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that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you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want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to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be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removed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from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our</w:t>
      </w:r>
      <w:proofErr w:type="spellEnd"/>
      <w:r w:rsidRPr="00121B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list.</w:t>
      </w:r>
    </w:p>
    <w:p w:rsidR="00121B87" w:rsidRPr="00121B87" w:rsidRDefault="00121B87" w:rsidP="0012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LiveStreamedLifeSciences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is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part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of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ESC Ltd.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Registered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in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England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and Wales,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Company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number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: </w:t>
      </w:r>
      <w:hyperlink r:id="rId8" w:history="1"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4326921</w:t>
        </w:r>
      </w:hyperlink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 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Trading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Address: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Euroscicon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Ltd,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Highstone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House, </w:t>
      </w:r>
      <w:hyperlink r:id="rId9" w:history="1"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165 </w:t>
        </w:r>
        <w:proofErr w:type="spellStart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High</w:t>
        </w:r>
        <w:proofErr w:type="spellEnd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Street</w:t>
        </w:r>
      </w:hyperlink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Barnet,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Herts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 EN5 5SU, UK. </w:t>
      </w:r>
      <w:proofErr w:type="spellStart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Registered</w:t>
      </w:r>
      <w:proofErr w:type="spellEnd"/>
      <w:r w:rsidRPr="00121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Office: </w:t>
      </w:r>
      <w:hyperlink r:id="rId10" w:history="1"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47 </w:t>
        </w:r>
        <w:proofErr w:type="spellStart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High</w:t>
        </w:r>
        <w:proofErr w:type="spellEnd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Street, </w:t>
        </w:r>
        <w:proofErr w:type="spellStart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High</w:t>
        </w:r>
        <w:proofErr w:type="spellEnd"/>
        <w:r w:rsidRPr="00121B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Barnet, UK</w:t>
        </w:r>
      </w:hyperlink>
    </w:p>
    <w:p w:rsidR="00121B87" w:rsidRDefault="00121B87"/>
    <w:p w:rsidR="00121B87" w:rsidRDefault="00121B87">
      <w:r>
        <w:br w:type="page"/>
      </w:r>
    </w:p>
    <w:p w:rsidR="000C2191" w:rsidRDefault="000C2191">
      <w:bookmarkStart w:id="0" w:name="_GoBack"/>
      <w:bookmarkEnd w:id="0"/>
    </w:p>
    <w:sectPr w:rsidR="000C2191" w:rsidSect="00121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218"/>
    <w:multiLevelType w:val="multilevel"/>
    <w:tmpl w:val="209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7"/>
    <w:rsid w:val="000C2191"/>
    <w:rsid w:val="00121B87"/>
    <w:rsid w:val="007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1B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1B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eventname">
    <w:name w:val="eventname"/>
    <w:basedOn w:val="Standardnpsmoodstavce"/>
    <w:rsid w:val="00121B87"/>
  </w:style>
  <w:style w:type="character" w:styleId="Siln">
    <w:name w:val="Strong"/>
    <w:basedOn w:val="Standardnpsmoodstavce"/>
    <w:uiPriority w:val="22"/>
    <w:qFormat/>
    <w:rsid w:val="00121B8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1B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21B87"/>
  </w:style>
  <w:style w:type="paragraph" w:styleId="Normlnweb">
    <w:name w:val="Normal (Web)"/>
    <w:basedOn w:val="Normln"/>
    <w:uiPriority w:val="99"/>
    <w:semiHidden/>
    <w:unhideWhenUsed/>
    <w:rsid w:val="0012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1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1B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1B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eventname">
    <w:name w:val="eventname"/>
    <w:basedOn w:val="Standardnpsmoodstavce"/>
    <w:rsid w:val="00121B87"/>
  </w:style>
  <w:style w:type="character" w:styleId="Siln">
    <w:name w:val="Strong"/>
    <w:basedOn w:val="Standardnpsmoodstavce"/>
    <w:uiPriority w:val="22"/>
    <w:qFormat/>
    <w:rsid w:val="00121B8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1B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21B87"/>
  </w:style>
  <w:style w:type="paragraph" w:styleId="Normlnweb">
    <w:name w:val="Normal (Web)"/>
    <w:basedOn w:val="Normln"/>
    <w:uiPriority w:val="99"/>
    <w:semiHidden/>
    <w:unhideWhenUsed/>
    <w:rsid w:val="0012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1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3269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online.co.uk/sportsweb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online.co.uk/sportsweb2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x-apple-data-detectors://2/1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1/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2016-08-02T08:10:00Z</dcterms:created>
  <dcterms:modified xsi:type="dcterms:W3CDTF">2016-08-02T08:11:00Z</dcterms:modified>
</cp:coreProperties>
</file>